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a8f22671a644b1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DD" w:rsidRDefault="00034A6D" w:rsidP="00772DDD">
      <w:pPr>
        <w:spacing w:after="200"/>
        <w:jc w:val="center"/>
        <w:rPr>
          <w:rFonts w:asciiTheme="minorHAnsi" w:hAnsiTheme="minorHAnsi" w:cstheme="minorBidi"/>
          <w:b/>
          <w:i/>
          <w:sz w:val="24"/>
        </w:rPr>
      </w:pPr>
      <w:bookmarkStart w:id="0" w:name="_GoBack"/>
      <w:bookmarkEnd w:id="0"/>
      <w:r w:rsidRPr="00772DDD">
        <w:rPr>
          <w:rFonts w:asciiTheme="minorHAnsi" w:hAnsiTheme="minorHAnsi" w:cstheme="minorBidi"/>
          <w:b/>
          <w:i/>
          <w:sz w:val="24"/>
        </w:rPr>
        <w:t xml:space="preserve">Autoridade da Mobilidade e dos Transportes, </w:t>
      </w:r>
    </w:p>
    <w:p w:rsidR="00034A6D" w:rsidRPr="00772DDD" w:rsidRDefault="00034A6D" w:rsidP="00772DDD">
      <w:pPr>
        <w:spacing w:after="200"/>
        <w:jc w:val="center"/>
        <w:rPr>
          <w:rFonts w:asciiTheme="minorHAnsi" w:hAnsiTheme="minorHAnsi" w:cstheme="minorBidi"/>
          <w:b/>
          <w:i/>
          <w:sz w:val="24"/>
        </w:rPr>
      </w:pPr>
      <w:proofErr w:type="gramStart"/>
      <w:r w:rsidRPr="00772DDD">
        <w:rPr>
          <w:rFonts w:asciiTheme="minorHAnsi" w:hAnsiTheme="minorHAnsi" w:cstheme="minorBidi"/>
          <w:b/>
          <w:i/>
          <w:sz w:val="24"/>
        </w:rPr>
        <w:t>sucede</w:t>
      </w:r>
      <w:proofErr w:type="gramEnd"/>
      <w:r w:rsidRPr="00772DDD">
        <w:rPr>
          <w:rFonts w:asciiTheme="minorHAnsi" w:hAnsiTheme="minorHAnsi" w:cstheme="minorBidi"/>
          <w:b/>
          <w:i/>
          <w:sz w:val="24"/>
        </w:rPr>
        <w:t xml:space="preserve"> ao Instituto da Mobilidade e Transportes </w:t>
      </w:r>
      <w:r w:rsidR="00772DDD">
        <w:rPr>
          <w:rFonts w:asciiTheme="minorHAnsi" w:hAnsiTheme="minorHAnsi" w:cstheme="minorBidi"/>
          <w:b/>
          <w:i/>
          <w:sz w:val="24"/>
        </w:rPr>
        <w:t xml:space="preserve"> </w:t>
      </w:r>
      <w:r w:rsidRPr="00772DDD">
        <w:rPr>
          <w:rFonts w:asciiTheme="minorHAnsi" w:hAnsiTheme="minorHAnsi" w:cstheme="minorBidi"/>
          <w:b/>
          <w:i/>
          <w:sz w:val="24"/>
        </w:rPr>
        <w:t xml:space="preserve">como </w:t>
      </w:r>
      <w:r w:rsidR="008268BC" w:rsidRPr="00772DDD">
        <w:rPr>
          <w:rFonts w:asciiTheme="minorHAnsi" w:hAnsiTheme="minorHAnsi" w:cstheme="minorBidi"/>
          <w:b/>
          <w:i/>
          <w:sz w:val="24"/>
        </w:rPr>
        <w:t>entidade reguladora</w:t>
      </w:r>
    </w:p>
    <w:p w:rsidR="00772DDD" w:rsidRPr="00772DDD" w:rsidRDefault="00772DDD" w:rsidP="00772DDD">
      <w:pPr>
        <w:spacing w:after="200"/>
        <w:jc w:val="center"/>
        <w:rPr>
          <w:rFonts w:asciiTheme="minorHAnsi" w:hAnsiTheme="minorHAnsi" w:cstheme="minorBidi"/>
          <w:b/>
          <w:i/>
          <w:sz w:val="24"/>
        </w:rPr>
      </w:pP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>O Instituto da Mobilidade e dos Transportes, I.P. (IMT, I.P.), cuja orgânica foi aprovada pelo Decreto-Lei n.º 236/2012, de 31 de outubro, alterada pelo Decreto-Lei n.º 77/2014, de 14 de maio, é sucedido pela Autoridade da Mobilidade e dos Transportes (AMT), nas suas atribuições em matéria de regulação, de promoção e defesa da concorrência nos setores marítimo-portuário, da mobilidade e no âmbito dos transportes terrestres, fluviais e marítimos.</w:t>
      </w: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E94058">
        <w:rPr>
          <w:rFonts w:asciiTheme="minorHAnsi" w:hAnsiTheme="minorHAnsi" w:cstheme="minorBidi"/>
        </w:rPr>
        <w:t>O</w:t>
      </w:r>
      <w:r w:rsidR="00034A6D" w:rsidRPr="00034A6D">
        <w:rPr>
          <w:rFonts w:asciiTheme="minorHAnsi" w:hAnsiTheme="minorHAnsi" w:cstheme="minorBidi"/>
        </w:rPr>
        <w:t xml:space="preserve"> IMT, I.P., com a restruturação introduzida pelo Decreto- Lei n.º 77/2014, passa a ser o organismo da administração indireta do Estado encarregue das funções de regulamentação técnica, de licenciamento, coordenação, fiscalização e planeamento no setor dos transportes terrestres, fluviais e respetivas infraestruturas e na vertente económica do setor dos portos comerciais e transportes marítimos, bem como da gestão de contratos de concessão em que o Estado seja concedente nos referidos setores ou em outros setores, nomeadamente relativos a transporte aéreo e infraestruturas aeroportuárias, de modo a satisfazer as necessidades de mobilidade de pessoas e bens.</w:t>
      </w: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>A AMT</w:t>
      </w:r>
      <w:r w:rsidR="00E94058">
        <w:rPr>
          <w:rFonts w:asciiTheme="minorHAnsi" w:hAnsiTheme="minorHAnsi" w:cstheme="minorBidi"/>
        </w:rPr>
        <w:t>, nos termos de Decreto-Lei n.º 78/2014,</w:t>
      </w:r>
      <w:r w:rsidR="00034A6D" w:rsidRPr="00034A6D">
        <w:rPr>
          <w:rFonts w:asciiTheme="minorHAnsi" w:hAnsiTheme="minorHAnsi" w:cstheme="minorBidi"/>
        </w:rPr>
        <w:t xml:space="preserve"> tem por missão regular e fiscalizar o setor da mobilidade e dos transportes terrestres, fluviais, ferroviários, e respetivas infraestruturas, e da atividade económica no setor dos portos comerciais e transportes marítimos, enquanto serviços de interesse económico geral e atividades baseadas em redes, através dos seus poderes de regulamentação, supervisão, fiscalização e sancionatórios, com atribuições em matéria de proteção dos direitos e interesses dos consumidores e de promoção e defesa da concorrência dos setores privados, público, cooperativo e social.</w:t>
      </w: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 xml:space="preserve">Uma grande novidade é a </w:t>
      </w:r>
      <w:r w:rsidR="00034A6D" w:rsidRPr="00A0202E">
        <w:rPr>
          <w:rFonts w:asciiTheme="minorHAnsi" w:hAnsiTheme="minorHAnsi" w:cstheme="minorBidi"/>
          <w:b/>
        </w:rPr>
        <w:t>mediação de conflitos, agora cabe à AMT, promover ações de conciliação, entre os agentes económicos e os consumidores, tomar conhecimento e dar resposta às queixas dos utentes ou dos consumidores e adotar as providências necessárias</w:t>
      </w:r>
      <w:r w:rsidR="00034A6D" w:rsidRPr="00034A6D">
        <w:rPr>
          <w:rFonts w:asciiTheme="minorHAnsi" w:hAnsiTheme="minorHAnsi" w:cstheme="minorBidi"/>
        </w:rPr>
        <w:t>, nos termos da lei.</w:t>
      </w:r>
    </w:p>
    <w:p w:rsid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>A mediação terá que ser concluída num prazo máximo de 90 dias, a contar da data da receção do pedido, podendo este prazo ser prorrogado por igual período, quando a AMT necessitar de informações complementares, ou, ainda, por um período superior, mediante acordo com o queixoso.</w:t>
      </w:r>
    </w:p>
    <w:p w:rsidR="00034A6D" w:rsidRPr="00A0202E" w:rsidRDefault="00AD265C" w:rsidP="00772DDD">
      <w:pPr>
        <w:spacing w:after="200"/>
        <w:jc w:val="both"/>
        <w:rPr>
          <w:rFonts w:asciiTheme="minorHAnsi" w:hAnsiTheme="minorHAnsi" w:cstheme="minorBidi"/>
          <w:b/>
        </w:rPr>
      </w:pPr>
      <w:r w:rsidRPr="00A0202E">
        <w:rPr>
          <w:rFonts w:asciiTheme="minorHAnsi" w:hAnsiTheme="minorHAnsi" w:cstheme="minorBidi"/>
          <w:b/>
        </w:rPr>
        <w:t xml:space="preserve">   </w:t>
      </w:r>
      <w:r w:rsidR="00034A6D" w:rsidRPr="00A0202E">
        <w:rPr>
          <w:rFonts w:asciiTheme="minorHAnsi" w:hAnsiTheme="minorHAnsi" w:cstheme="minorBidi"/>
          <w:b/>
        </w:rPr>
        <w:t>Esta Autoridade terá de um balcão único destinado ao atendimento, informação, processamento e tratamento das reclamações.</w:t>
      </w: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>A AMT é considerada como estando em condições de prosseguir as suas atribuições no prazo de 120 dias, a contar da data da entrada em vigor do presente diploma.</w:t>
      </w:r>
    </w:p>
    <w:p w:rsidR="00034A6D" w:rsidRPr="00034A6D" w:rsidRDefault="00AD265C" w:rsidP="00772DDD">
      <w:pPr>
        <w:spacing w:after="20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</w:t>
      </w:r>
      <w:r w:rsidR="00034A6D" w:rsidRPr="00034A6D">
        <w:rPr>
          <w:rFonts w:asciiTheme="minorHAnsi" w:hAnsiTheme="minorHAnsi" w:cstheme="minorBidi"/>
        </w:rPr>
        <w:t>Para mais informações consultar:</w:t>
      </w:r>
    </w:p>
    <w:p w:rsidR="00034A6D" w:rsidRPr="00034A6D" w:rsidRDefault="007B399B" w:rsidP="00772DDD">
      <w:pPr>
        <w:spacing w:after="200"/>
        <w:jc w:val="both"/>
        <w:rPr>
          <w:rFonts w:asciiTheme="minorHAnsi" w:hAnsiTheme="minorHAnsi" w:cstheme="minorBidi"/>
        </w:rPr>
      </w:pPr>
      <w:hyperlink r:id="rId9" w:history="1">
        <w:r w:rsidR="00034A6D" w:rsidRPr="00034A6D">
          <w:rPr>
            <w:rFonts w:asciiTheme="minorHAnsi" w:hAnsiTheme="minorHAnsi" w:cstheme="minorBidi"/>
            <w:color w:val="0000FF" w:themeColor="hyperlink"/>
            <w:u w:val="single"/>
          </w:rPr>
          <w:t>Decreto-Lei n.º 78/2014, de 14 de maio</w:t>
        </w:r>
      </w:hyperlink>
    </w:p>
    <w:p w:rsidR="003F7338" w:rsidRPr="00034A6D" w:rsidRDefault="003F7338" w:rsidP="00034A6D"/>
    <w:sectPr w:rsidR="003F7338" w:rsidRPr="00034A6D" w:rsidSect="00034A6D">
      <w:headerReference w:type="default" r:id="rId10"/>
      <w:footerReference w:type="default" r:id="rId11"/>
      <w:pgSz w:w="11906" w:h="16838"/>
      <w:pgMar w:top="482" w:right="1274" w:bottom="1417" w:left="1134" w:header="56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9B" w:rsidRDefault="007B399B" w:rsidP="00567EBD">
      <w:r>
        <w:separator/>
      </w:r>
    </w:p>
  </w:endnote>
  <w:endnote w:type="continuationSeparator" w:id="0">
    <w:p w:rsidR="007B399B" w:rsidRDefault="007B399B" w:rsidP="0056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14" w:type="pct"/>
      <w:tblCellSpacing w:w="0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5"/>
    </w:tblGrid>
    <w:tr w:rsidR="00567EBD" w:rsidTr="00567EBD">
      <w:trPr>
        <w:trHeight w:val="267"/>
        <w:tblCellSpacing w:w="0" w:type="dxa"/>
      </w:trPr>
      <w:tc>
        <w:tcPr>
          <w:tcW w:w="5000" w:type="pct"/>
          <w:shd w:val="clear" w:color="auto" w:fill="BEDC9E"/>
          <w:vAlign w:val="center"/>
        </w:tcPr>
        <w:p w:rsidR="00567EBD" w:rsidRPr="00567EBD" w:rsidRDefault="00567EBD" w:rsidP="00567EBD">
          <w:pPr>
            <w:jc w:val="center"/>
            <w:rPr>
              <w:color w:val="008C52"/>
              <w:sz w:val="18"/>
              <w:szCs w:val="18"/>
              <w:lang w:eastAsia="pt-PT"/>
            </w:rPr>
          </w:pPr>
          <w:r w:rsidRPr="00567EBD">
            <w:rPr>
              <w:color w:val="008C52"/>
              <w:sz w:val="18"/>
              <w:szCs w:val="18"/>
              <w:lang w:eastAsia="pt-PT"/>
            </w:rPr>
            <w:t xml:space="preserve">Portal do Consumidor – </w:t>
          </w:r>
          <w:hyperlink r:id="rId1" w:history="1">
            <w:r w:rsidRPr="00567EBD">
              <w:rPr>
                <w:rStyle w:val="Hiperligao"/>
                <w:sz w:val="18"/>
                <w:szCs w:val="18"/>
                <w:lang w:eastAsia="pt-PT"/>
              </w:rPr>
              <w:t>www.consumidor.pt</w:t>
            </w:r>
          </w:hyperlink>
        </w:p>
        <w:p w:rsidR="00567EBD" w:rsidRDefault="00567EBD" w:rsidP="00567EBD">
          <w:pPr>
            <w:jc w:val="both"/>
            <w:rPr>
              <w:rFonts w:ascii="Verdana" w:hAnsi="Verdana"/>
              <w:color w:val="008C52"/>
              <w:sz w:val="17"/>
              <w:szCs w:val="17"/>
              <w:lang w:eastAsia="pt-PT"/>
            </w:rPr>
          </w:pPr>
          <w:r w:rsidRPr="00567EBD">
            <w:rPr>
              <w:color w:val="008C52"/>
              <w:sz w:val="18"/>
              <w:szCs w:val="18"/>
              <w:lang w:eastAsia="pt-PT"/>
            </w:rPr>
            <w:t xml:space="preserve">Praça Duque de Saldanha n.º 31, 3º., 1069-013 Lisboa; Tel. 213 564 600; </w:t>
          </w:r>
          <w:proofErr w:type="gramStart"/>
          <w:r w:rsidRPr="00567EBD">
            <w:rPr>
              <w:color w:val="008C52"/>
              <w:sz w:val="18"/>
              <w:szCs w:val="18"/>
              <w:lang w:eastAsia="pt-PT"/>
            </w:rPr>
            <w:t>Fax</w:t>
          </w:r>
          <w:proofErr w:type="gramEnd"/>
          <w:r w:rsidRPr="00567EBD">
            <w:rPr>
              <w:color w:val="008C52"/>
              <w:sz w:val="18"/>
              <w:szCs w:val="18"/>
              <w:lang w:eastAsia="pt-PT"/>
            </w:rPr>
            <w:t xml:space="preserve">: 213 564 719; Endereço eletrónico: </w:t>
          </w:r>
          <w:hyperlink r:id="rId2" w:history="1">
            <w:r w:rsidRPr="00567EBD">
              <w:rPr>
                <w:rStyle w:val="Hiperligao"/>
                <w:color w:val="008C52"/>
                <w:sz w:val="18"/>
                <w:szCs w:val="18"/>
                <w:lang w:eastAsia="pt-PT"/>
              </w:rPr>
              <w:t>dgc@dg.consumidor.pt</w:t>
            </w:r>
          </w:hyperlink>
          <w:r>
            <w:rPr>
              <w:rFonts w:ascii="Verdana" w:hAnsi="Verdana"/>
              <w:color w:val="008C52"/>
              <w:sz w:val="17"/>
              <w:szCs w:val="17"/>
              <w:lang w:eastAsia="pt-PT"/>
            </w:rPr>
            <w:t xml:space="preserve"> </w:t>
          </w:r>
        </w:p>
      </w:tc>
    </w:tr>
  </w:tbl>
  <w:p w:rsidR="00567EBD" w:rsidRDefault="00567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9B" w:rsidRDefault="007B399B" w:rsidP="00567EBD">
      <w:r>
        <w:separator/>
      </w:r>
    </w:p>
  </w:footnote>
  <w:footnote w:type="continuationSeparator" w:id="0">
    <w:p w:rsidR="007B399B" w:rsidRDefault="007B399B" w:rsidP="00567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0" w:type="dxa"/>
      <w:tblInd w:w="-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97"/>
      <w:gridCol w:w="1629"/>
      <w:gridCol w:w="3792"/>
    </w:tblGrid>
    <w:tr w:rsidR="00567EBD" w:rsidTr="00567EBD">
      <w:trPr>
        <w:trHeight w:val="1200"/>
        <w:tblCellSpacing w:w="0" w:type="dxa"/>
      </w:trPr>
      <w:tc>
        <w:tcPr>
          <w:tcW w:w="4395" w:type="dxa"/>
          <w:tcMar>
            <w:top w:w="0" w:type="dxa"/>
            <w:left w:w="45" w:type="dxa"/>
            <w:bottom w:w="0" w:type="dxa"/>
            <w:right w:w="0" w:type="dxa"/>
          </w:tcMar>
          <w:vAlign w:val="center"/>
          <w:hideMark/>
        </w:tcPr>
        <w:p w:rsidR="00567EBD" w:rsidRDefault="00567EBD" w:rsidP="00567EBD">
          <w:pPr>
            <w:rPr>
              <w:rFonts w:ascii="Verdana" w:hAnsi="Verdana"/>
              <w:sz w:val="17"/>
              <w:szCs w:val="17"/>
              <w:lang w:eastAsia="pt-PT"/>
            </w:rPr>
          </w:pPr>
          <w:r>
            <w:rPr>
              <w:rFonts w:ascii="Verdana" w:hAnsi="Verdana"/>
              <w:noProof/>
              <w:sz w:val="17"/>
              <w:szCs w:val="17"/>
              <w:lang w:eastAsia="pt-PT"/>
            </w:rPr>
            <w:drawing>
              <wp:inline distT="0" distB="0" distL="0" distR="0" wp14:anchorId="4EE2FCF5" wp14:editId="750F3125">
                <wp:extent cx="2620108" cy="461768"/>
                <wp:effectExtent l="0" t="0" r="8890" b="0"/>
                <wp:docPr id="5" name="Imagem 5" descr="Descrição: DGConsumi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9" descr="Descrição: DGConsumid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2739" cy="478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2" w:type="dxa"/>
          <w:tcMar>
            <w:top w:w="0" w:type="dxa"/>
            <w:left w:w="0" w:type="dxa"/>
            <w:bottom w:w="0" w:type="dxa"/>
            <w:right w:w="75" w:type="dxa"/>
          </w:tcMar>
          <w:vAlign w:val="center"/>
          <w:hideMark/>
        </w:tcPr>
        <w:p w:rsidR="00567EBD" w:rsidRDefault="00567EBD">
          <w:pPr>
            <w:jc w:val="right"/>
            <w:rPr>
              <w:rFonts w:ascii="Verdana" w:hAnsi="Verdana"/>
              <w:sz w:val="17"/>
              <w:szCs w:val="17"/>
              <w:lang w:eastAsia="pt-PT"/>
            </w:rPr>
          </w:pPr>
          <w:r>
            <w:rPr>
              <w:rFonts w:ascii="Verdana" w:hAnsi="Verdana"/>
              <w:noProof/>
              <w:sz w:val="17"/>
              <w:szCs w:val="17"/>
              <w:lang w:eastAsia="pt-PT"/>
            </w:rPr>
            <w:drawing>
              <wp:inline distT="0" distB="0" distL="0" distR="0" wp14:anchorId="62DD5917" wp14:editId="60AFC2E9">
                <wp:extent cx="817880" cy="422275"/>
                <wp:effectExtent l="0" t="0" r="1270" b="0"/>
                <wp:docPr id="6" name="Imagem 6" descr="Descrição: DGConsumi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Descrição: DGConsumid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  <w:tcMar>
            <w:top w:w="0" w:type="dxa"/>
            <w:left w:w="0" w:type="dxa"/>
            <w:bottom w:w="0" w:type="dxa"/>
            <w:right w:w="75" w:type="dxa"/>
          </w:tcMar>
          <w:vAlign w:val="center"/>
          <w:hideMark/>
        </w:tcPr>
        <w:p w:rsidR="00567EBD" w:rsidRDefault="00567EBD" w:rsidP="00567EBD">
          <w:pPr>
            <w:ind w:left="-105" w:firstLine="105"/>
            <w:jc w:val="right"/>
            <w:rPr>
              <w:rFonts w:ascii="Verdana" w:hAnsi="Verdana"/>
              <w:sz w:val="17"/>
              <w:szCs w:val="17"/>
              <w:lang w:eastAsia="pt-PT"/>
            </w:rPr>
          </w:pPr>
          <w:r>
            <w:rPr>
              <w:rFonts w:ascii="Verdana" w:hAnsi="Verdana"/>
              <w:noProof/>
              <w:sz w:val="17"/>
              <w:szCs w:val="17"/>
              <w:lang w:eastAsia="pt-PT"/>
            </w:rPr>
            <w:drawing>
              <wp:inline distT="0" distB="0" distL="0" distR="0" wp14:anchorId="51D552A3" wp14:editId="7FD029ED">
                <wp:extent cx="2585961" cy="720969"/>
                <wp:effectExtent l="0" t="0" r="5080" b="3175"/>
                <wp:docPr id="7" name="Imagem 7" descr="Descrição: DGConsumi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 descr="Descrição: DGConsumid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6107" cy="72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7EBD" w:rsidTr="00567EBD">
      <w:trPr>
        <w:tblCellSpacing w:w="0" w:type="dxa"/>
      </w:trPr>
      <w:tc>
        <w:tcPr>
          <w:tcW w:w="10065" w:type="dxa"/>
          <w:gridSpan w:val="3"/>
          <w:vAlign w:val="center"/>
          <w:hideMark/>
        </w:tcPr>
        <w:p w:rsidR="00567EBD" w:rsidRDefault="00567EBD" w:rsidP="00567EBD">
          <w:pPr>
            <w:jc w:val="both"/>
            <w:rPr>
              <w:rFonts w:ascii="Times New Roman" w:hAnsi="Times New Roman"/>
              <w:sz w:val="24"/>
              <w:szCs w:val="24"/>
              <w:lang w:eastAsia="pt-PT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6FE56CD2" wp14:editId="4F8C9AB7">
                <wp:extent cx="6308630" cy="929640"/>
                <wp:effectExtent l="0" t="0" r="0" b="3810"/>
                <wp:docPr id="8" name="Imagem 8" descr="Descrição: Aler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Ale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5109" cy="93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7EBD" w:rsidRDefault="00567EBD" w:rsidP="00567EB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1180"/>
    <w:multiLevelType w:val="multilevel"/>
    <w:tmpl w:val="30C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45313"/>
    <w:multiLevelType w:val="multilevel"/>
    <w:tmpl w:val="B298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A705D"/>
    <w:multiLevelType w:val="multilevel"/>
    <w:tmpl w:val="D62A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E56CC"/>
    <w:multiLevelType w:val="multilevel"/>
    <w:tmpl w:val="3910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0D108E"/>
    <w:multiLevelType w:val="multilevel"/>
    <w:tmpl w:val="372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9A2B7B"/>
    <w:multiLevelType w:val="hybridMultilevel"/>
    <w:tmpl w:val="91FCDD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D4E7B"/>
    <w:multiLevelType w:val="multilevel"/>
    <w:tmpl w:val="192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4136C5"/>
    <w:multiLevelType w:val="multilevel"/>
    <w:tmpl w:val="CA78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7E1958"/>
    <w:multiLevelType w:val="hybridMultilevel"/>
    <w:tmpl w:val="1DDE2208"/>
    <w:lvl w:ilvl="0" w:tplc="081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17C3FBC"/>
    <w:multiLevelType w:val="multilevel"/>
    <w:tmpl w:val="F4A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F5733A"/>
    <w:multiLevelType w:val="multilevel"/>
    <w:tmpl w:val="773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A853BB"/>
    <w:multiLevelType w:val="multilevel"/>
    <w:tmpl w:val="0010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9C11DE"/>
    <w:multiLevelType w:val="multilevel"/>
    <w:tmpl w:val="A89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8FC482A"/>
    <w:multiLevelType w:val="hybridMultilevel"/>
    <w:tmpl w:val="45B006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F551E"/>
    <w:multiLevelType w:val="multilevel"/>
    <w:tmpl w:val="3726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53357F"/>
    <w:multiLevelType w:val="hybridMultilevel"/>
    <w:tmpl w:val="9F9242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BD"/>
    <w:rsid w:val="00017A65"/>
    <w:rsid w:val="00017E77"/>
    <w:rsid w:val="00034A6D"/>
    <w:rsid w:val="00082238"/>
    <w:rsid w:val="00090F2F"/>
    <w:rsid w:val="001A45B2"/>
    <w:rsid w:val="002201B6"/>
    <w:rsid w:val="00224C01"/>
    <w:rsid w:val="0024420B"/>
    <w:rsid w:val="00291E11"/>
    <w:rsid w:val="002A5F7F"/>
    <w:rsid w:val="0038166D"/>
    <w:rsid w:val="003F15EF"/>
    <w:rsid w:val="003F7338"/>
    <w:rsid w:val="00481A3C"/>
    <w:rsid w:val="004D37D4"/>
    <w:rsid w:val="00567EBD"/>
    <w:rsid w:val="005D4757"/>
    <w:rsid w:val="00624A9A"/>
    <w:rsid w:val="006408BD"/>
    <w:rsid w:val="00674CC6"/>
    <w:rsid w:val="00732163"/>
    <w:rsid w:val="00772DDD"/>
    <w:rsid w:val="007B399B"/>
    <w:rsid w:val="008268BC"/>
    <w:rsid w:val="008D14AF"/>
    <w:rsid w:val="0090082A"/>
    <w:rsid w:val="00946432"/>
    <w:rsid w:val="00972EAE"/>
    <w:rsid w:val="00A0202E"/>
    <w:rsid w:val="00A50554"/>
    <w:rsid w:val="00A940E0"/>
    <w:rsid w:val="00AC371D"/>
    <w:rsid w:val="00AD265C"/>
    <w:rsid w:val="00B01E0C"/>
    <w:rsid w:val="00B0355D"/>
    <w:rsid w:val="00B93104"/>
    <w:rsid w:val="00BB3E89"/>
    <w:rsid w:val="00C35EC5"/>
    <w:rsid w:val="00CD1A91"/>
    <w:rsid w:val="00CE1E80"/>
    <w:rsid w:val="00D17586"/>
    <w:rsid w:val="00D475A9"/>
    <w:rsid w:val="00D676CC"/>
    <w:rsid w:val="00DB68B5"/>
    <w:rsid w:val="00E94058"/>
    <w:rsid w:val="00ED006F"/>
    <w:rsid w:val="00F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3E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7EB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7EBD"/>
  </w:style>
  <w:style w:type="paragraph" w:styleId="Rodap">
    <w:name w:val="footer"/>
    <w:basedOn w:val="Normal"/>
    <w:link w:val="RodapCarcter"/>
    <w:uiPriority w:val="99"/>
    <w:unhideWhenUsed/>
    <w:rsid w:val="00567EB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67EBD"/>
  </w:style>
  <w:style w:type="paragraph" w:styleId="Textodebalo">
    <w:name w:val="Balloon Text"/>
    <w:basedOn w:val="Normal"/>
    <w:link w:val="TextodebaloCarcter"/>
    <w:uiPriority w:val="99"/>
    <w:semiHidden/>
    <w:unhideWhenUsed/>
    <w:rsid w:val="00567EB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EB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67E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01B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SemEspaamento">
    <w:name w:val="No Spacing"/>
    <w:uiPriority w:val="1"/>
    <w:qFormat/>
    <w:rsid w:val="003F73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D006F"/>
    <w:rPr>
      <w:rFonts w:ascii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D006F"/>
  </w:style>
  <w:style w:type="character" w:styleId="AcrnimoHTML">
    <w:name w:val="HTML Acronym"/>
    <w:basedOn w:val="Tipodeletrapredefinidodopargrafo"/>
    <w:uiPriority w:val="99"/>
    <w:semiHidden/>
    <w:unhideWhenUsed/>
    <w:rsid w:val="00ED006F"/>
  </w:style>
  <w:style w:type="paragraph" w:customStyle="1" w:styleId="bold1">
    <w:name w:val="bold1"/>
    <w:basedOn w:val="Normal"/>
    <w:rsid w:val="00ED006F"/>
    <w:rPr>
      <w:rFonts w:ascii="Times New Roman" w:hAnsi="Times New Roman"/>
      <w:sz w:val="24"/>
      <w:szCs w:val="24"/>
      <w:lang w:eastAsia="pt-PT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ED006F"/>
    <w:rPr>
      <w:rFonts w:cs="Consolas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ED006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3E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67EB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67EBD"/>
  </w:style>
  <w:style w:type="paragraph" w:styleId="Rodap">
    <w:name w:val="footer"/>
    <w:basedOn w:val="Normal"/>
    <w:link w:val="RodapCarcter"/>
    <w:uiPriority w:val="99"/>
    <w:unhideWhenUsed/>
    <w:rsid w:val="00567EBD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67EBD"/>
  </w:style>
  <w:style w:type="paragraph" w:styleId="Textodebalo">
    <w:name w:val="Balloon Text"/>
    <w:basedOn w:val="Normal"/>
    <w:link w:val="TextodebaloCarcter"/>
    <w:uiPriority w:val="99"/>
    <w:semiHidden/>
    <w:unhideWhenUsed/>
    <w:rsid w:val="00567EB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7EB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67E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01B6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SemEspaamento">
    <w:name w:val="No Spacing"/>
    <w:uiPriority w:val="1"/>
    <w:qFormat/>
    <w:rsid w:val="003F733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D006F"/>
    <w:rPr>
      <w:rFonts w:ascii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D006F"/>
  </w:style>
  <w:style w:type="character" w:styleId="AcrnimoHTML">
    <w:name w:val="HTML Acronym"/>
    <w:basedOn w:val="Tipodeletrapredefinidodopargrafo"/>
    <w:uiPriority w:val="99"/>
    <w:semiHidden/>
    <w:unhideWhenUsed/>
    <w:rsid w:val="00ED006F"/>
  </w:style>
  <w:style w:type="paragraph" w:customStyle="1" w:styleId="bold1">
    <w:name w:val="bold1"/>
    <w:basedOn w:val="Normal"/>
    <w:rsid w:val="00ED006F"/>
    <w:rPr>
      <w:rFonts w:ascii="Times New Roman" w:hAnsi="Times New Roman"/>
      <w:sz w:val="24"/>
      <w:szCs w:val="24"/>
      <w:lang w:eastAsia="pt-PT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ED006F"/>
    <w:rPr>
      <w:rFonts w:cs="Consolas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ED006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0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6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9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97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5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re.pt/pdf1sdip/2014/05/09200/0280502819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@dg.consumidor.pt" TargetMode="External"/><Relationship Id="rId1" Type="http://schemas.openxmlformats.org/officeDocument/2006/relationships/hyperlink" Target="http://www.consumidor.p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EA811.85994D50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image001.gif@01CEA811.85994D50" TargetMode="External"/><Relationship Id="rId1" Type="http://schemas.openxmlformats.org/officeDocument/2006/relationships/image" Target="media/image1.gif"/><Relationship Id="rId6" Type="http://schemas.openxmlformats.org/officeDocument/2006/relationships/image" Target="cid:image003.jpg@01CEA811.85994D5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CEA811.85994D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B444-2F85-4D3E-AACA-53DC62E8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(DGC) Isabel Espinheira</dc:creator>
  <cp:lastModifiedBy>Administrador</cp:lastModifiedBy>
  <cp:revision>2</cp:revision>
  <dcterms:created xsi:type="dcterms:W3CDTF">2014-05-19T08:36:00Z</dcterms:created>
  <dcterms:modified xsi:type="dcterms:W3CDTF">2014-05-19T08:36:00Z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DocumentKey">
    <vt:lpwstr xmlns:vt="http://schemas.openxmlformats.org/officeDocument/2006/docPropsVTypes">6ca7b461-cb08-4b6e-bf0f-af44fbe2f597</vt:lpwstr>
  </op:property>
  <op:property fmtid="{D5CDD505-2E9C-101B-9397-08002B2CF9AE}" pid="3" name="_edoclink_DocumentVersion">
    <vt:lpwstr>1</vt:lpwstr>
  </op:property>
  <op:property fmtid="{D5CDD505-2E9C-101B-9397-08002B2CF9AE}" pid="4" name="_edoclink_StageKey">
    <vt:lpwstr>9dbbf64a-c340-488c-9539-a33100e31797</vt:lpwstr>
  </op:property>
  <op:property fmtid="{D5CDD505-2E9C-101B-9397-08002B2CF9AE}" pid="5" name="_edoclink_ContainerType">
    <vt:lpwstr>Distribution</vt:lpwstr>
  </op:property>
  <op:property fmtid="{D5CDD505-2E9C-101B-9397-08002B2CF9AE}" pid="6" name="_edoclink_ContainerKey">
    <vt:lpwstr>830fa9e6-3147-40fc-bd2d-a33100e317c5</vt:lpwstr>
  </op:property>
</op:Properties>
</file>